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AB" w:rsidRPr="00275A2E" w:rsidRDefault="00FB62C3" w:rsidP="00275A2E">
      <w:pPr>
        <w:spacing w:line="360" w:lineRule="auto"/>
        <w:jc w:val="center"/>
        <w:rPr>
          <w:rFonts w:asciiTheme="majorHAnsi" w:hAnsiTheme="majorHAnsi"/>
          <w:b/>
        </w:rPr>
      </w:pPr>
      <w:r w:rsidRPr="00275A2E">
        <w:rPr>
          <w:rFonts w:asciiTheme="majorHAnsi" w:hAnsiTheme="majorHAnsi"/>
          <w:b/>
        </w:rPr>
        <w:t>Uzasadnienie</w:t>
      </w:r>
    </w:p>
    <w:p w:rsidR="00D27FD7" w:rsidRPr="00275A2E" w:rsidRDefault="00275A2E" w:rsidP="00275A2E">
      <w:pPr>
        <w:spacing w:line="36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do uchwały Rady Gminy w Słupnie </w:t>
      </w:r>
      <w:r w:rsidR="00D27FD7" w:rsidRPr="00275A2E">
        <w:rPr>
          <w:rFonts w:asciiTheme="majorHAnsi" w:hAnsiTheme="majorHAnsi"/>
          <w:b/>
        </w:rPr>
        <w:t xml:space="preserve"> w sprawie okręgów wyborczych.</w:t>
      </w:r>
    </w:p>
    <w:p w:rsidR="00275A2E" w:rsidRPr="00275A2E" w:rsidRDefault="00275A2E" w:rsidP="00275A2E">
      <w:pPr>
        <w:spacing w:line="360" w:lineRule="auto"/>
        <w:jc w:val="both"/>
        <w:rPr>
          <w:rFonts w:asciiTheme="majorHAnsi" w:hAnsiTheme="majorHAnsi"/>
          <w:b/>
        </w:rPr>
      </w:pPr>
    </w:p>
    <w:p w:rsidR="00FB62C3" w:rsidRPr="00275A2E" w:rsidRDefault="00FB62C3" w:rsidP="00275A2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75A2E">
        <w:rPr>
          <w:rFonts w:asciiTheme="majorHAnsi" w:hAnsiTheme="majorHAnsi"/>
          <w:sz w:val="22"/>
          <w:szCs w:val="22"/>
        </w:rPr>
        <w:tab/>
        <w:t xml:space="preserve">Ustawa z dnia 5 stycznia 2011 r. – </w:t>
      </w:r>
      <w:r w:rsidR="00E77BF3" w:rsidRPr="00275A2E">
        <w:rPr>
          <w:rFonts w:asciiTheme="majorHAnsi" w:hAnsiTheme="majorHAnsi"/>
          <w:sz w:val="22"/>
          <w:szCs w:val="22"/>
        </w:rPr>
        <w:t>K</w:t>
      </w:r>
      <w:r w:rsidRPr="00275A2E">
        <w:rPr>
          <w:rFonts w:asciiTheme="majorHAnsi" w:hAnsiTheme="majorHAnsi"/>
          <w:sz w:val="22"/>
          <w:szCs w:val="22"/>
        </w:rPr>
        <w:t xml:space="preserve">odeks wyborczy, która weszła w życie z dniem </w:t>
      </w:r>
      <w:r w:rsidRPr="00275A2E">
        <w:rPr>
          <w:rFonts w:asciiTheme="majorHAnsi" w:hAnsiTheme="majorHAnsi"/>
          <w:sz w:val="22"/>
          <w:szCs w:val="22"/>
        </w:rPr>
        <w:br/>
        <w:t>1 sierpnia 2011, wprowadziła w art. 418 §1 zasadę, że w okręgu wyborczym tworzonym dla wyboru rady w gminie niebędącej miastem na prawach powiatu wybiera się 1 radnego.</w:t>
      </w:r>
      <w:r w:rsidR="00E77BF3" w:rsidRPr="00275A2E">
        <w:rPr>
          <w:rFonts w:asciiTheme="majorHAnsi" w:hAnsiTheme="majorHAnsi"/>
          <w:sz w:val="22"/>
          <w:szCs w:val="22"/>
        </w:rPr>
        <w:br/>
      </w:r>
      <w:r w:rsidRPr="00275A2E">
        <w:rPr>
          <w:rFonts w:asciiTheme="majorHAnsi" w:hAnsiTheme="majorHAnsi"/>
          <w:sz w:val="22"/>
          <w:szCs w:val="22"/>
        </w:rPr>
        <w:t>Jest to regulacja odmienna niż obowiązująca dotychczas w Ordynacji wyborczej do rad gmin, rad powiatów i sejmików województw, która zakładała wybór w okręgu wyborczym od 1 do 5 radnych.</w:t>
      </w:r>
    </w:p>
    <w:p w:rsidR="00FB62C3" w:rsidRPr="00275A2E" w:rsidRDefault="00FB62C3" w:rsidP="00275A2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75A2E">
        <w:rPr>
          <w:rFonts w:asciiTheme="majorHAnsi" w:hAnsiTheme="majorHAnsi"/>
          <w:sz w:val="22"/>
          <w:szCs w:val="22"/>
        </w:rPr>
        <w:t xml:space="preserve">Jednocześnie przepis art. 13 ustawy z dnia 5 stycznia 2011 r. Przepisy wprowadzające ustawę – Kodeks wyborczy zobowiązuje wszystkie rady gmin do dokonania podziału gminy na okręgi wyborcze w wyborach do rady gminy w terminie 15 miesięcy od dnia wejścia w życie tej ustawy tzn. do </w:t>
      </w:r>
      <w:r w:rsidR="00E56254" w:rsidRPr="00275A2E">
        <w:rPr>
          <w:rFonts w:asciiTheme="majorHAnsi" w:hAnsiTheme="majorHAnsi"/>
          <w:sz w:val="22"/>
          <w:szCs w:val="22"/>
        </w:rPr>
        <w:t>1 listopada</w:t>
      </w:r>
      <w:r w:rsidRPr="00275A2E">
        <w:rPr>
          <w:rFonts w:asciiTheme="majorHAnsi" w:hAnsiTheme="majorHAnsi"/>
          <w:sz w:val="22"/>
          <w:szCs w:val="22"/>
        </w:rPr>
        <w:t xml:space="preserve"> 2012 roku. Ponadto w artykule tym stwierdza się, że przy ustalaniu podziału gminy na okręgi wyborcze uwzględnia się liczbę mieszkańców </w:t>
      </w:r>
      <w:r w:rsidR="00651EA7" w:rsidRPr="00275A2E">
        <w:rPr>
          <w:rFonts w:asciiTheme="majorHAnsi" w:hAnsiTheme="majorHAnsi"/>
          <w:sz w:val="22"/>
          <w:szCs w:val="22"/>
        </w:rPr>
        <w:t>ujętych w stałym rejestrze wyborców danej gminy na koniec kwartału poprzedzającego kwartał, w którym rada gminy dokonuje podziału gminy na okręgi wyborcze.</w:t>
      </w:r>
    </w:p>
    <w:p w:rsidR="00651EA7" w:rsidRPr="00275A2E" w:rsidRDefault="00651EA7" w:rsidP="00275A2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75A2E">
        <w:rPr>
          <w:rFonts w:asciiTheme="majorHAnsi" w:hAnsiTheme="majorHAnsi"/>
          <w:sz w:val="22"/>
          <w:szCs w:val="22"/>
        </w:rPr>
        <w:t>Według stanu na dzień 30 czerwca 20</w:t>
      </w:r>
      <w:r w:rsidR="00275A2E">
        <w:rPr>
          <w:rFonts w:asciiTheme="majorHAnsi" w:hAnsiTheme="majorHAnsi"/>
          <w:sz w:val="22"/>
          <w:szCs w:val="22"/>
        </w:rPr>
        <w:t>12 r. liczba mieszkańców Gminy Słupno wynosiła ……………..</w:t>
      </w:r>
    </w:p>
    <w:p w:rsidR="007A0151" w:rsidRPr="00275A2E" w:rsidRDefault="007A0151" w:rsidP="00275A2E">
      <w:pPr>
        <w:spacing w:line="360" w:lineRule="auto"/>
        <w:ind w:firstLine="708"/>
        <w:jc w:val="both"/>
        <w:rPr>
          <w:rFonts w:asciiTheme="majorHAnsi" w:hAnsiTheme="majorHAnsi"/>
          <w:sz w:val="22"/>
          <w:szCs w:val="22"/>
        </w:rPr>
      </w:pPr>
      <w:r w:rsidRPr="00275A2E">
        <w:rPr>
          <w:rFonts w:asciiTheme="majorHAnsi" w:hAnsiTheme="majorHAnsi"/>
          <w:sz w:val="22"/>
          <w:szCs w:val="22"/>
        </w:rPr>
        <w:t xml:space="preserve">Zgodnie z art. 17 ustawy z dnia 8 marca 1990 r. o samorządzie gminnym, w gminach </w:t>
      </w:r>
      <w:r w:rsidR="00E77BF3" w:rsidRPr="00275A2E">
        <w:rPr>
          <w:rFonts w:asciiTheme="majorHAnsi" w:hAnsiTheme="majorHAnsi"/>
          <w:sz w:val="22"/>
          <w:szCs w:val="22"/>
        </w:rPr>
        <w:br/>
      </w:r>
      <w:r w:rsidRPr="00275A2E">
        <w:rPr>
          <w:rFonts w:asciiTheme="majorHAnsi" w:hAnsiTheme="majorHAnsi"/>
          <w:sz w:val="22"/>
          <w:szCs w:val="22"/>
        </w:rPr>
        <w:t>do 20000 mieszkańców w skład rady wchodzą radni w liczbie 15.</w:t>
      </w:r>
    </w:p>
    <w:p w:rsidR="007A0151" w:rsidRPr="00275A2E" w:rsidRDefault="007A0151" w:rsidP="00275A2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75A2E">
        <w:rPr>
          <w:rFonts w:asciiTheme="majorHAnsi" w:hAnsiTheme="majorHAnsi"/>
          <w:sz w:val="22"/>
          <w:szCs w:val="22"/>
        </w:rPr>
        <w:t>Z porównania danych o liczbie mieszkańców z art. 17 ustawy o samorządzie g</w:t>
      </w:r>
      <w:r w:rsidR="00275A2E">
        <w:rPr>
          <w:rFonts w:asciiTheme="majorHAnsi" w:hAnsiTheme="majorHAnsi"/>
          <w:sz w:val="22"/>
          <w:szCs w:val="22"/>
        </w:rPr>
        <w:t xml:space="preserve">minnym wynika, że do Rady Gminy w Słupnie wybieranych będzie 15 </w:t>
      </w:r>
      <w:r w:rsidRPr="00275A2E">
        <w:rPr>
          <w:rFonts w:asciiTheme="majorHAnsi" w:hAnsiTheme="majorHAnsi"/>
          <w:sz w:val="22"/>
          <w:szCs w:val="22"/>
        </w:rPr>
        <w:t>radnych, czyli ta sama ilość co według obecnie obowiązującego stanu prawnego.</w:t>
      </w:r>
    </w:p>
    <w:p w:rsidR="007A0151" w:rsidRPr="00275A2E" w:rsidRDefault="007A0151" w:rsidP="00275A2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75A2E">
        <w:rPr>
          <w:rFonts w:asciiTheme="majorHAnsi" w:hAnsiTheme="majorHAnsi"/>
          <w:sz w:val="22"/>
          <w:szCs w:val="22"/>
        </w:rPr>
        <w:tab/>
        <w:t xml:space="preserve">Przedstawiony Wysokiej Radzie projekt podziału gminy na okręgi wyborcze, opracowany został zgodnie z zasadami tworzenia okręgów wyborczych wynikających z art. 417 – 419 Kodeksu wyborczego, to znaczy: w każdym okręgu wyborczym tworzonym dla wyboru rady wybierany będzie </w:t>
      </w:r>
      <w:r w:rsidR="00D27FD7" w:rsidRPr="00275A2E">
        <w:rPr>
          <w:rFonts w:asciiTheme="majorHAnsi" w:hAnsiTheme="majorHAnsi"/>
          <w:sz w:val="22"/>
          <w:szCs w:val="22"/>
        </w:rPr>
        <w:t xml:space="preserve">1 </w:t>
      </w:r>
      <w:r w:rsidRPr="00275A2E">
        <w:rPr>
          <w:rFonts w:asciiTheme="majorHAnsi" w:hAnsiTheme="majorHAnsi"/>
          <w:sz w:val="22"/>
          <w:szCs w:val="22"/>
        </w:rPr>
        <w:t>radny.</w:t>
      </w:r>
    </w:p>
    <w:p w:rsidR="007A0151" w:rsidRPr="00275A2E" w:rsidRDefault="007A0151" w:rsidP="00275A2E">
      <w:pPr>
        <w:spacing w:line="360" w:lineRule="auto"/>
        <w:ind w:firstLine="708"/>
        <w:jc w:val="both"/>
        <w:rPr>
          <w:rFonts w:asciiTheme="majorHAnsi" w:hAnsiTheme="majorHAnsi"/>
          <w:sz w:val="22"/>
          <w:szCs w:val="22"/>
        </w:rPr>
      </w:pPr>
      <w:r w:rsidRPr="00275A2E">
        <w:rPr>
          <w:rFonts w:asciiTheme="majorHAnsi" w:hAnsiTheme="majorHAnsi"/>
          <w:sz w:val="22"/>
          <w:szCs w:val="22"/>
        </w:rPr>
        <w:t xml:space="preserve">Proponowany podział na okręgi wyborcze nie narusza generalnej reguły, że </w:t>
      </w:r>
      <w:r w:rsidR="00797ED6" w:rsidRPr="00275A2E">
        <w:rPr>
          <w:rFonts w:asciiTheme="majorHAnsi" w:hAnsiTheme="majorHAnsi"/>
          <w:sz w:val="22"/>
          <w:szCs w:val="22"/>
        </w:rPr>
        <w:t xml:space="preserve">o ilości mandatów decyduje liczba mieszkańców przypadająca na 1 mandat (norma przedstawicielstwa), stanowiąca naczelną zasadę równości wyborów, zapisaną w art. 369 Kodeksu wyborczego. Normę przedstawicielstwa oblicza się przez podzielenie liczby mieszkańców gminy przez liczbę radnych. Wynosi ona </w:t>
      </w:r>
      <w:r w:rsidR="00275A2E" w:rsidRPr="00020570">
        <w:rPr>
          <w:rFonts w:asciiTheme="majorHAnsi" w:hAnsiTheme="majorHAnsi"/>
          <w:color w:val="E36C0A" w:themeColor="accent6" w:themeShade="BF"/>
          <w:sz w:val="22"/>
          <w:szCs w:val="22"/>
        </w:rPr>
        <w:t>437</w:t>
      </w:r>
      <w:r w:rsidR="00275A2E">
        <w:rPr>
          <w:rFonts w:asciiTheme="majorHAnsi" w:hAnsiTheme="majorHAnsi"/>
          <w:sz w:val="22"/>
          <w:szCs w:val="22"/>
        </w:rPr>
        <w:t>.</w:t>
      </w:r>
    </w:p>
    <w:p w:rsidR="00F862D8" w:rsidRPr="00275A2E" w:rsidRDefault="00F862D8" w:rsidP="00275A2E">
      <w:pPr>
        <w:spacing w:line="360" w:lineRule="auto"/>
        <w:ind w:firstLine="708"/>
        <w:jc w:val="both"/>
        <w:rPr>
          <w:rFonts w:asciiTheme="majorHAnsi" w:hAnsiTheme="majorHAnsi"/>
          <w:sz w:val="22"/>
          <w:szCs w:val="22"/>
        </w:rPr>
      </w:pPr>
      <w:r w:rsidRPr="00275A2E">
        <w:rPr>
          <w:rFonts w:asciiTheme="majorHAnsi" w:hAnsiTheme="majorHAnsi"/>
          <w:sz w:val="22"/>
          <w:szCs w:val="22"/>
        </w:rPr>
        <w:t xml:space="preserve">W przedstawionym podziale gminy na okręgi wyborcze uwzględniono zasadę, że okręgiem wyborczym jest jednostka pomocnicza gminy, sołectwo. </w:t>
      </w:r>
    </w:p>
    <w:p w:rsidR="00F862D8" w:rsidRPr="00275A2E" w:rsidRDefault="00F862D8" w:rsidP="00275A2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75A2E">
        <w:rPr>
          <w:rFonts w:asciiTheme="majorHAnsi" w:hAnsiTheme="majorHAnsi"/>
          <w:sz w:val="22"/>
          <w:szCs w:val="22"/>
        </w:rPr>
        <w:lastRenderedPageBreak/>
        <w:t>Jednostki pomocnicze gminy łączono w celu utworzenia okręgu wyborczego lub dokonano jej podziału na dwa lub więcej okręgów wyborczych, jeżeli wynikało to z konieczności zachowania jednolitej normy przedstawicielstwa.</w:t>
      </w:r>
    </w:p>
    <w:p w:rsidR="00413BBD" w:rsidRPr="00275A2E" w:rsidRDefault="004E690C" w:rsidP="00275A2E">
      <w:pPr>
        <w:spacing w:line="360" w:lineRule="auto"/>
        <w:ind w:firstLine="708"/>
        <w:jc w:val="both"/>
        <w:rPr>
          <w:rFonts w:asciiTheme="majorHAnsi" w:hAnsiTheme="majorHAnsi"/>
          <w:sz w:val="22"/>
          <w:szCs w:val="22"/>
        </w:rPr>
      </w:pPr>
      <w:r w:rsidRPr="00275A2E">
        <w:rPr>
          <w:rFonts w:asciiTheme="majorHAnsi" w:hAnsiTheme="majorHAnsi"/>
          <w:sz w:val="22"/>
          <w:szCs w:val="22"/>
        </w:rPr>
        <w:t xml:space="preserve">We wstępnym etapie dokonywania podziału gminy na okręgi wyborcze, niezbędne było ustalenie, czy poszczególne jednostki pomocnicze gminy spełniają kryteria umożliwiające utworzenia w nich okręgu wyborczego. Zgodnie z art. 419 §2 </w:t>
      </w:r>
      <w:proofErr w:type="spellStart"/>
      <w:r w:rsidRPr="00275A2E">
        <w:rPr>
          <w:rFonts w:asciiTheme="majorHAnsi" w:hAnsiTheme="majorHAnsi"/>
          <w:sz w:val="22"/>
          <w:szCs w:val="22"/>
        </w:rPr>
        <w:t>pkt</w:t>
      </w:r>
      <w:proofErr w:type="spellEnd"/>
      <w:r w:rsidRPr="00275A2E">
        <w:rPr>
          <w:rFonts w:asciiTheme="majorHAnsi" w:hAnsiTheme="majorHAnsi"/>
          <w:sz w:val="22"/>
          <w:szCs w:val="22"/>
        </w:rPr>
        <w:t xml:space="preserve"> 1Kodeksu wyborczego obliczon</w:t>
      </w:r>
      <w:r w:rsidR="00E56254" w:rsidRPr="00275A2E">
        <w:rPr>
          <w:rFonts w:asciiTheme="majorHAnsi" w:hAnsiTheme="majorHAnsi"/>
          <w:sz w:val="22"/>
          <w:szCs w:val="22"/>
        </w:rPr>
        <w:t>o</w:t>
      </w:r>
      <w:r w:rsidRPr="00275A2E">
        <w:rPr>
          <w:rFonts w:asciiTheme="majorHAnsi" w:hAnsiTheme="majorHAnsi"/>
          <w:sz w:val="22"/>
          <w:szCs w:val="22"/>
        </w:rPr>
        <w:t xml:space="preserve"> ułamki liczby mandatów przypadające dla jednostek pomocniczych dzieląc liczb</w:t>
      </w:r>
      <w:r w:rsidR="00413BBD" w:rsidRPr="00275A2E">
        <w:rPr>
          <w:rFonts w:asciiTheme="majorHAnsi" w:hAnsiTheme="majorHAnsi"/>
          <w:sz w:val="22"/>
          <w:szCs w:val="22"/>
        </w:rPr>
        <w:t>ę mieszkańców jednostki przez jednolitą normę przedstawicielstwa. Następnie ułamki liczby mandatów równe lub większe od 0,5 zaokrąglono w górę do liczby całkowitej.</w:t>
      </w:r>
    </w:p>
    <w:p w:rsidR="00F862D8" w:rsidRPr="00275A2E" w:rsidRDefault="00F862D8" w:rsidP="00FD3701">
      <w:pPr>
        <w:spacing w:line="360" w:lineRule="auto"/>
        <w:ind w:firstLine="708"/>
        <w:jc w:val="both"/>
        <w:rPr>
          <w:rFonts w:asciiTheme="majorHAnsi" w:hAnsiTheme="majorHAnsi"/>
          <w:sz w:val="22"/>
          <w:szCs w:val="22"/>
        </w:rPr>
      </w:pPr>
      <w:r w:rsidRPr="00275A2E">
        <w:rPr>
          <w:rFonts w:asciiTheme="majorHAnsi" w:hAnsiTheme="majorHAnsi"/>
          <w:sz w:val="22"/>
          <w:szCs w:val="22"/>
        </w:rPr>
        <w:t xml:space="preserve">Wykaz jednostek pomocniczych z liczbą mieszkańców, obliczonym pomocniczo współczynnikiem liczby mieszkańców przypadających na 1 mandat w jednostce, liczbę mandatów radnych przypadających w jednostce pomocniczej </w:t>
      </w:r>
      <w:r w:rsidR="00797241" w:rsidRPr="00275A2E">
        <w:rPr>
          <w:rFonts w:asciiTheme="majorHAnsi" w:hAnsiTheme="majorHAnsi"/>
          <w:sz w:val="22"/>
          <w:szCs w:val="22"/>
        </w:rPr>
        <w:t xml:space="preserve">zawiera </w:t>
      </w:r>
      <w:r w:rsidR="00FD3701">
        <w:rPr>
          <w:rFonts w:asciiTheme="majorHAnsi" w:hAnsiTheme="majorHAnsi"/>
          <w:sz w:val="22"/>
          <w:szCs w:val="22"/>
        </w:rPr>
        <w:t>tabela stanowiąca załącznik</w:t>
      </w:r>
      <w:r w:rsidR="00797241" w:rsidRPr="00275A2E">
        <w:rPr>
          <w:rFonts w:asciiTheme="majorHAnsi" w:hAnsiTheme="majorHAnsi"/>
          <w:sz w:val="22"/>
          <w:szCs w:val="22"/>
        </w:rPr>
        <w:t xml:space="preserve"> Nr 1 do uzasadnienia. Mapa gminy z naniesionymi danymi dotyczącymi ułamk</w:t>
      </w:r>
      <w:r w:rsidR="00413BBD" w:rsidRPr="00275A2E">
        <w:rPr>
          <w:rFonts w:asciiTheme="majorHAnsi" w:hAnsiTheme="majorHAnsi"/>
          <w:sz w:val="22"/>
          <w:szCs w:val="22"/>
        </w:rPr>
        <w:t>ów</w:t>
      </w:r>
      <w:r w:rsidR="00797241" w:rsidRPr="00275A2E">
        <w:rPr>
          <w:rFonts w:asciiTheme="majorHAnsi" w:hAnsiTheme="majorHAnsi"/>
          <w:sz w:val="22"/>
          <w:szCs w:val="22"/>
        </w:rPr>
        <w:t xml:space="preserve"> liczby mandatów przypadających w poszczególnych jednostkach pomocniczych stanowi z</w:t>
      </w:r>
      <w:r w:rsidR="00FD3701">
        <w:rPr>
          <w:rFonts w:asciiTheme="majorHAnsi" w:hAnsiTheme="majorHAnsi"/>
          <w:sz w:val="22"/>
          <w:szCs w:val="22"/>
        </w:rPr>
        <w:t xml:space="preserve">ałącznik </w:t>
      </w:r>
      <w:r w:rsidR="00797241" w:rsidRPr="00275A2E">
        <w:rPr>
          <w:rFonts w:asciiTheme="majorHAnsi" w:hAnsiTheme="majorHAnsi"/>
          <w:sz w:val="22"/>
          <w:szCs w:val="22"/>
        </w:rPr>
        <w:t xml:space="preserve"> Nr 2 do uzasadnienia. </w:t>
      </w:r>
    </w:p>
    <w:p w:rsidR="00797241" w:rsidRPr="00275A2E" w:rsidRDefault="00797241" w:rsidP="00FD3701">
      <w:pPr>
        <w:spacing w:line="360" w:lineRule="auto"/>
        <w:ind w:firstLine="708"/>
        <w:jc w:val="both"/>
        <w:rPr>
          <w:rFonts w:asciiTheme="majorHAnsi" w:hAnsiTheme="majorHAnsi"/>
          <w:sz w:val="22"/>
          <w:szCs w:val="22"/>
        </w:rPr>
      </w:pPr>
      <w:r w:rsidRPr="00275A2E">
        <w:rPr>
          <w:rFonts w:asciiTheme="majorHAnsi" w:hAnsiTheme="majorHAnsi"/>
          <w:sz w:val="22"/>
          <w:szCs w:val="22"/>
        </w:rPr>
        <w:t>Układ przestrzenny gminy, w powiązaniu z liczbą mieszkańców poszczególnych jednostek pomocniczych, dla zachowania jednolitej normy przedstawicielstwa spowodował konieczność:</w:t>
      </w:r>
    </w:p>
    <w:p w:rsidR="00DD7DCB" w:rsidRDefault="00797241" w:rsidP="00275A2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75A2E">
        <w:rPr>
          <w:rFonts w:asciiTheme="majorHAnsi" w:hAnsiTheme="majorHAnsi"/>
          <w:sz w:val="22"/>
          <w:szCs w:val="22"/>
        </w:rPr>
        <w:t>- połączenia sołectw</w:t>
      </w:r>
      <w:r w:rsidR="00DD7DCB">
        <w:rPr>
          <w:rFonts w:asciiTheme="majorHAnsi" w:hAnsiTheme="majorHAnsi"/>
          <w:sz w:val="22"/>
          <w:szCs w:val="22"/>
        </w:rPr>
        <w:t>:</w:t>
      </w:r>
    </w:p>
    <w:p w:rsidR="00DD7DCB" w:rsidRDefault="00DD7DCB" w:rsidP="00DD7DC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Bielino, Rydzyno</w:t>
      </w:r>
    </w:p>
    <w:p w:rsidR="00DD7DCB" w:rsidRDefault="00DD7DCB" w:rsidP="00DD7DC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Barcikowo, Święcieniec, Ramutowo</w:t>
      </w:r>
      <w:r w:rsidR="00020570">
        <w:rPr>
          <w:rFonts w:asciiTheme="majorHAnsi" w:hAnsiTheme="majorHAnsi"/>
          <w:sz w:val="22"/>
          <w:szCs w:val="22"/>
        </w:rPr>
        <w:t>, Mijakowo</w:t>
      </w:r>
    </w:p>
    <w:p w:rsidR="00DD7DCB" w:rsidRDefault="00DD7DCB" w:rsidP="00DD7DC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Miszewko – Stefany, Miszewko Strzałkowskie,</w:t>
      </w:r>
      <w:r w:rsidR="0002057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020570">
        <w:rPr>
          <w:rFonts w:asciiTheme="majorHAnsi" w:hAnsiTheme="majorHAnsi"/>
          <w:sz w:val="22"/>
          <w:szCs w:val="22"/>
        </w:rPr>
        <w:t>Sambórz</w:t>
      </w:r>
      <w:proofErr w:type="spellEnd"/>
    </w:p>
    <w:p w:rsidR="009E1F1F" w:rsidRDefault="009E1F1F" w:rsidP="00DD7DC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Mirosław, Stare Gulczewo, Gulczewo</w:t>
      </w:r>
      <w:r w:rsidR="00020570">
        <w:rPr>
          <w:rFonts w:asciiTheme="majorHAnsi" w:hAnsiTheme="majorHAnsi"/>
          <w:sz w:val="22"/>
          <w:szCs w:val="22"/>
        </w:rPr>
        <w:t>,</w:t>
      </w:r>
    </w:p>
    <w:p w:rsidR="00020570" w:rsidRDefault="00020570" w:rsidP="00DD7DC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Szeligi, Słupno (osiedle „</w:t>
      </w:r>
      <w:proofErr w:type="spellStart"/>
      <w:r>
        <w:rPr>
          <w:rFonts w:asciiTheme="majorHAnsi" w:hAnsiTheme="majorHAnsi"/>
          <w:sz w:val="22"/>
          <w:szCs w:val="22"/>
        </w:rPr>
        <w:t>Krzelewo</w:t>
      </w:r>
      <w:proofErr w:type="spellEnd"/>
      <w:r>
        <w:rPr>
          <w:rFonts w:asciiTheme="majorHAnsi" w:hAnsiTheme="majorHAnsi"/>
          <w:sz w:val="22"/>
          <w:szCs w:val="22"/>
        </w:rPr>
        <w:t>”)</w:t>
      </w:r>
    </w:p>
    <w:p w:rsidR="00797241" w:rsidRPr="009E1F1F" w:rsidRDefault="009E1F1F" w:rsidP="009E1F1F">
      <w:pPr>
        <w:spacing w:line="360" w:lineRule="auto"/>
        <w:ind w:left="3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</w:t>
      </w:r>
      <w:r w:rsidR="00797241" w:rsidRPr="009E1F1F">
        <w:rPr>
          <w:rFonts w:asciiTheme="majorHAnsi" w:hAnsiTheme="majorHAnsi"/>
          <w:sz w:val="22"/>
          <w:szCs w:val="22"/>
        </w:rPr>
        <w:t xml:space="preserve"> w jeden okręg wyborczy,</w:t>
      </w:r>
    </w:p>
    <w:p w:rsidR="009E1F1F" w:rsidRDefault="009E1F1F" w:rsidP="00275A2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 podziału sołectw:</w:t>
      </w:r>
    </w:p>
    <w:p w:rsidR="00797241" w:rsidRDefault="009E1F1F" w:rsidP="009E1F1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Cekanowo </w:t>
      </w:r>
    </w:p>
    <w:p w:rsidR="009E1F1F" w:rsidRDefault="009E1F1F" w:rsidP="009E1F1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Nowe Gulczewo </w:t>
      </w:r>
    </w:p>
    <w:p w:rsidR="009E1F1F" w:rsidRDefault="009E1F1F" w:rsidP="009E1F1F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 dwa okręgi wyborcze</w:t>
      </w:r>
    </w:p>
    <w:p w:rsidR="009E1F1F" w:rsidRPr="009E1F1F" w:rsidRDefault="00020570" w:rsidP="009E1F1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Słupno – na cztery</w:t>
      </w:r>
      <w:r w:rsidR="009E1F1F">
        <w:rPr>
          <w:rFonts w:asciiTheme="majorHAnsi" w:hAnsiTheme="majorHAnsi"/>
          <w:sz w:val="22"/>
          <w:szCs w:val="22"/>
        </w:rPr>
        <w:t xml:space="preserve"> okręgi wyborcze</w:t>
      </w:r>
    </w:p>
    <w:p w:rsidR="00797241" w:rsidRPr="00275A2E" w:rsidRDefault="00797241" w:rsidP="00275A2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75A2E">
        <w:rPr>
          <w:rFonts w:asciiTheme="majorHAnsi" w:hAnsiTheme="majorHAnsi"/>
          <w:sz w:val="22"/>
          <w:szCs w:val="22"/>
        </w:rPr>
        <w:t>Podział Gminy</w:t>
      </w:r>
      <w:r w:rsidR="009E1F1F">
        <w:rPr>
          <w:rFonts w:asciiTheme="majorHAnsi" w:hAnsiTheme="majorHAnsi"/>
          <w:sz w:val="22"/>
          <w:szCs w:val="22"/>
        </w:rPr>
        <w:t xml:space="preserve"> Słupno </w:t>
      </w:r>
      <w:r w:rsidRPr="00275A2E">
        <w:rPr>
          <w:rFonts w:asciiTheme="majorHAnsi" w:hAnsiTheme="majorHAnsi"/>
          <w:sz w:val="22"/>
          <w:szCs w:val="22"/>
        </w:rPr>
        <w:t xml:space="preserve">na okręgi wyborcze z uwzględnieniem danych: nr okręgu wyborczego, </w:t>
      </w:r>
      <w:r w:rsidR="008C70E4" w:rsidRPr="00275A2E">
        <w:rPr>
          <w:rFonts w:asciiTheme="majorHAnsi" w:hAnsiTheme="majorHAnsi"/>
          <w:sz w:val="22"/>
          <w:szCs w:val="22"/>
        </w:rPr>
        <w:t xml:space="preserve">granice okręgu wyborczego, </w:t>
      </w:r>
      <w:r w:rsidRPr="00275A2E">
        <w:rPr>
          <w:rFonts w:asciiTheme="majorHAnsi" w:hAnsiTheme="majorHAnsi"/>
          <w:sz w:val="22"/>
          <w:szCs w:val="22"/>
        </w:rPr>
        <w:t>liczbę mieszkańców okręgu wyborczego, okręgowy współczynnik normy przedstawicielstwa oraz liczbę wybieranych radnych w okręgu pr</w:t>
      </w:r>
      <w:r w:rsidR="009E1F1F">
        <w:rPr>
          <w:rFonts w:asciiTheme="majorHAnsi" w:hAnsiTheme="majorHAnsi"/>
          <w:sz w:val="22"/>
          <w:szCs w:val="22"/>
        </w:rPr>
        <w:t>zedstawia tabela stanowiąca załącznik</w:t>
      </w:r>
      <w:r w:rsidRPr="00275A2E">
        <w:rPr>
          <w:rFonts w:asciiTheme="majorHAnsi" w:hAnsiTheme="majorHAnsi"/>
          <w:sz w:val="22"/>
          <w:szCs w:val="22"/>
        </w:rPr>
        <w:t xml:space="preserve"> Nr 3 do uzasadnienia.</w:t>
      </w:r>
    </w:p>
    <w:p w:rsidR="00413BBD" w:rsidRPr="00275A2E" w:rsidRDefault="009E1F1F" w:rsidP="00275A2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Mapa Gminy Słupno </w:t>
      </w:r>
      <w:r w:rsidR="00413BBD" w:rsidRPr="00275A2E">
        <w:rPr>
          <w:rFonts w:asciiTheme="majorHAnsi" w:hAnsiTheme="majorHAnsi"/>
          <w:sz w:val="22"/>
          <w:szCs w:val="22"/>
        </w:rPr>
        <w:t xml:space="preserve"> z podziałem na okręgi wyborcze oraz naniesionym współczynnikiem normy przedstawicielstwa w każdym okręgu wyborczym stanowi </w:t>
      </w:r>
      <w:r>
        <w:rPr>
          <w:rFonts w:asciiTheme="majorHAnsi" w:hAnsiTheme="majorHAnsi"/>
          <w:sz w:val="22"/>
          <w:szCs w:val="22"/>
        </w:rPr>
        <w:t>załącznik</w:t>
      </w:r>
      <w:r w:rsidR="00413BBD" w:rsidRPr="00275A2E">
        <w:rPr>
          <w:rFonts w:asciiTheme="majorHAnsi" w:hAnsiTheme="majorHAnsi"/>
          <w:sz w:val="22"/>
          <w:szCs w:val="22"/>
        </w:rPr>
        <w:t xml:space="preserve"> Nr 4 do uzasadniania.</w:t>
      </w:r>
    </w:p>
    <w:p w:rsidR="00797241" w:rsidRPr="00275A2E" w:rsidRDefault="00797241" w:rsidP="009E1F1F">
      <w:pPr>
        <w:spacing w:line="360" w:lineRule="auto"/>
        <w:ind w:firstLine="708"/>
        <w:jc w:val="both"/>
        <w:rPr>
          <w:rFonts w:asciiTheme="majorHAnsi" w:hAnsiTheme="majorHAnsi"/>
          <w:sz w:val="22"/>
          <w:szCs w:val="22"/>
        </w:rPr>
      </w:pPr>
      <w:r w:rsidRPr="00275A2E">
        <w:rPr>
          <w:rFonts w:asciiTheme="majorHAnsi" w:hAnsiTheme="majorHAnsi"/>
          <w:sz w:val="22"/>
          <w:szCs w:val="22"/>
        </w:rPr>
        <w:t>Przedkładany projekt podziału gminy na okręgi wyborcze dla przeprowadzenia wyborów do rady gminy konsultowany był z komisjami rady, podano go do publicznej wiadomości, zamieszczając jego treść z uzasadnieniem na stronie internetowej Biuletynu Informacji Publicznej oraz wywieszono informację na tablicy ogłoszeń Urzędu o możliwości zapoznania się z projektem w siedzibie Urzędu.</w:t>
      </w:r>
    </w:p>
    <w:p w:rsidR="00133F6E" w:rsidRPr="00275A2E" w:rsidRDefault="009E1F1F" w:rsidP="00275A2E">
      <w:pPr>
        <w:spacing w:line="360" w:lineRule="auto"/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Nowy podział Gminy Słupno na okręgi wyborcze tworzone </w:t>
      </w:r>
      <w:r w:rsidR="00133F6E" w:rsidRPr="00275A2E">
        <w:rPr>
          <w:rFonts w:asciiTheme="majorHAnsi" w:hAnsiTheme="majorHAnsi"/>
          <w:sz w:val="22"/>
          <w:szCs w:val="22"/>
        </w:rPr>
        <w:t xml:space="preserve">dla wyboru Rady Gminy </w:t>
      </w:r>
      <w:r>
        <w:rPr>
          <w:rFonts w:asciiTheme="majorHAnsi" w:hAnsiTheme="majorHAnsi"/>
          <w:sz w:val="22"/>
          <w:szCs w:val="22"/>
        </w:rPr>
        <w:t>w Słupnie</w:t>
      </w:r>
      <w:r w:rsidR="00133F6E" w:rsidRPr="00275A2E">
        <w:rPr>
          <w:rFonts w:asciiTheme="majorHAnsi" w:hAnsiTheme="majorHAnsi"/>
          <w:sz w:val="22"/>
          <w:szCs w:val="22"/>
        </w:rPr>
        <w:t xml:space="preserve"> ,obowiązywał będzie do wyborów przeprowadzanych na kadencję Rady w latach 2014 – 2018.</w:t>
      </w:r>
    </w:p>
    <w:sectPr w:rsidR="00133F6E" w:rsidRPr="00275A2E" w:rsidSect="00275A2E">
      <w:headerReference w:type="even" r:id="rId7"/>
      <w:headerReference w:type="default" r:id="rId8"/>
      <w:pgSz w:w="11906" w:h="16838"/>
      <w:pgMar w:top="1417" w:right="1417" w:bottom="1417" w:left="1417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EB2" w:rsidRDefault="00C43EB2">
      <w:r>
        <w:separator/>
      </w:r>
    </w:p>
  </w:endnote>
  <w:endnote w:type="continuationSeparator" w:id="0">
    <w:p w:rsidR="00C43EB2" w:rsidRDefault="00C43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EB2" w:rsidRDefault="00C43EB2">
      <w:r>
        <w:separator/>
      </w:r>
    </w:p>
  </w:footnote>
  <w:footnote w:type="continuationSeparator" w:id="0">
    <w:p w:rsidR="00C43EB2" w:rsidRDefault="00C43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F6E" w:rsidRDefault="008536B9" w:rsidP="0041403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33F6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3F6E" w:rsidRDefault="00133F6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F6E" w:rsidRDefault="008536B9" w:rsidP="0041403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33F6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0570">
      <w:rPr>
        <w:rStyle w:val="Numerstrony"/>
        <w:noProof/>
      </w:rPr>
      <w:t>- 3 -</w:t>
    </w:r>
    <w:r>
      <w:rPr>
        <w:rStyle w:val="Numerstrony"/>
      </w:rPr>
      <w:fldChar w:fldCharType="end"/>
    </w:r>
  </w:p>
  <w:p w:rsidR="00133F6E" w:rsidRDefault="00133F6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6ADE"/>
    <w:multiLevelType w:val="hybridMultilevel"/>
    <w:tmpl w:val="466E6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50BDF"/>
    <w:multiLevelType w:val="hybridMultilevel"/>
    <w:tmpl w:val="4280B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022B2"/>
    <w:multiLevelType w:val="hybridMultilevel"/>
    <w:tmpl w:val="D7962F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337BE"/>
    <w:multiLevelType w:val="hybridMultilevel"/>
    <w:tmpl w:val="4E242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AAB"/>
    <w:rsid w:val="00020570"/>
    <w:rsid w:val="00133F6E"/>
    <w:rsid w:val="00275A2E"/>
    <w:rsid w:val="002A1DAB"/>
    <w:rsid w:val="00312AAB"/>
    <w:rsid w:val="00413BBD"/>
    <w:rsid w:val="00414038"/>
    <w:rsid w:val="0049689C"/>
    <w:rsid w:val="004A04D6"/>
    <w:rsid w:val="004A66E1"/>
    <w:rsid w:val="004E690C"/>
    <w:rsid w:val="00651EA7"/>
    <w:rsid w:val="00751940"/>
    <w:rsid w:val="00797241"/>
    <w:rsid w:val="00797ED6"/>
    <w:rsid w:val="007A0151"/>
    <w:rsid w:val="007C4A40"/>
    <w:rsid w:val="008536B9"/>
    <w:rsid w:val="008C70E4"/>
    <w:rsid w:val="009E1F1F"/>
    <w:rsid w:val="00AC2C2B"/>
    <w:rsid w:val="00B814C1"/>
    <w:rsid w:val="00C43EB2"/>
    <w:rsid w:val="00D27FD7"/>
    <w:rsid w:val="00DD7DCB"/>
    <w:rsid w:val="00E56254"/>
    <w:rsid w:val="00E64BE1"/>
    <w:rsid w:val="00E77BF3"/>
    <w:rsid w:val="00F862D8"/>
    <w:rsid w:val="00FB62C3"/>
    <w:rsid w:val="00FD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C2C2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12A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12AAB"/>
  </w:style>
  <w:style w:type="paragraph" w:styleId="Akapitzlist">
    <w:name w:val="List Paragraph"/>
    <w:basedOn w:val="Normalny"/>
    <w:uiPriority w:val="34"/>
    <w:qFormat/>
    <w:rsid w:val="00DD7D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720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KBW-WLOCLAWEK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skany</dc:creator>
  <cp:keywords/>
  <dc:description/>
  <cp:lastModifiedBy>Pomianowska</cp:lastModifiedBy>
  <cp:revision>4</cp:revision>
  <dcterms:created xsi:type="dcterms:W3CDTF">2012-06-12T11:19:00Z</dcterms:created>
  <dcterms:modified xsi:type="dcterms:W3CDTF">2012-06-14T06:04:00Z</dcterms:modified>
</cp:coreProperties>
</file>